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黑体" w:hAnsi="黑体" w:eastAsia="黑体" w:cs="仿宋"/>
          <w:sz w:val="32"/>
          <w:szCs w:val="32"/>
          <w:lang w:eastAsia="zh-CN"/>
        </w:rPr>
      </w:pPr>
      <w:r>
        <w:rPr>
          <w:rFonts w:hint="eastAsia" w:ascii="黑体" w:hAnsi="黑体" w:eastAsia="黑体" w:cs="仿宋"/>
          <w:sz w:val="32"/>
          <w:szCs w:val="32"/>
        </w:rPr>
        <w:t>附件</w:t>
      </w:r>
      <w:r>
        <w:rPr>
          <w:rFonts w:hint="eastAsia" w:ascii="黑体" w:hAnsi="黑体" w:eastAsia="黑体" w:cs="仿宋"/>
          <w:sz w:val="32"/>
          <w:szCs w:val="32"/>
          <w:lang w:val="en-US" w:eastAsia="zh-CN"/>
        </w:rPr>
        <w:t>5</w:t>
      </w:r>
    </w:p>
    <w:p>
      <w:pPr>
        <w:spacing w:line="560" w:lineRule="exact"/>
        <w:jc w:val="center"/>
        <w:rPr>
          <w:rFonts w:ascii="方正小标宋简体" w:eastAsia="方正小标宋简体" w:cs="方正小标宋简体"/>
          <w:sz w:val="44"/>
          <w:szCs w:val="44"/>
        </w:rPr>
      </w:pPr>
      <w:bookmarkStart w:id="0" w:name="OLE_LINK1"/>
      <w:bookmarkStart w:id="1" w:name="OLE_LINK2"/>
      <w:r>
        <w:rPr>
          <w:rFonts w:hint="eastAsia" w:ascii="方正小标宋简体" w:eastAsia="方正小标宋简体" w:cs="方正小标宋简体"/>
          <w:sz w:val="44"/>
          <w:szCs w:val="44"/>
        </w:rPr>
        <w:t>青岛农业大学</w:t>
      </w:r>
    </w:p>
    <w:p>
      <w:pPr>
        <w:spacing w:line="560" w:lineRule="exact"/>
        <w:jc w:val="center"/>
        <w:rPr>
          <w:rFonts w:ascii="方正小标宋简体" w:eastAsia="方正小标宋简体" w:cs="方正小标宋简体"/>
          <w:sz w:val="44"/>
          <w:szCs w:val="44"/>
        </w:rPr>
      </w:pPr>
      <w:bookmarkStart w:id="4" w:name="_GoBack"/>
      <w:r>
        <w:rPr>
          <w:rFonts w:hint="eastAsia" w:ascii="方正小标宋简体" w:eastAsia="方正小标宋简体" w:cs="方正小标宋简体"/>
          <w:sz w:val="44"/>
          <w:szCs w:val="44"/>
        </w:rPr>
        <w:t>在线开放课程验收认定指导标准</w:t>
      </w:r>
      <w:bookmarkEnd w:id="0"/>
      <w:bookmarkEnd w:id="1"/>
    </w:p>
    <w:p>
      <w:pPr>
        <w:spacing w:line="400" w:lineRule="exact"/>
        <w:jc w:val="center"/>
        <w:rPr>
          <w:rFonts w:hint="eastAsia" w:ascii="方正小标宋简体" w:eastAsia="方正小标宋简体"/>
          <w:sz w:val="44"/>
          <w:szCs w:val="44"/>
        </w:rPr>
      </w:pPr>
    </w:p>
    <w:bookmarkEnd w:id="4"/>
    <w:tbl>
      <w:tblPr>
        <w:tblStyle w:val="3"/>
        <w:tblW w:w="90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4"/>
        <w:gridCol w:w="885"/>
        <w:gridCol w:w="75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24" w:type="dxa"/>
            <w:noWrap w:val="0"/>
            <w:vAlign w:val="center"/>
          </w:tcPr>
          <w:p>
            <w:pPr>
              <w:spacing w:line="400" w:lineRule="exact"/>
              <w:jc w:val="center"/>
              <w:rPr>
                <w:rFonts w:ascii="黑体" w:hAnsi="黑体" w:eastAsia="黑体"/>
                <w:sz w:val="24"/>
              </w:rPr>
            </w:pPr>
            <w:r>
              <w:rPr>
                <w:rFonts w:hint="eastAsia" w:ascii="黑体" w:hAnsi="黑体" w:eastAsia="黑体" w:cs="仿宋"/>
                <w:sz w:val="24"/>
              </w:rPr>
              <w:t>序号</w:t>
            </w:r>
          </w:p>
        </w:tc>
        <w:tc>
          <w:tcPr>
            <w:tcW w:w="885" w:type="dxa"/>
            <w:noWrap w:val="0"/>
            <w:tcMar>
              <w:left w:w="28" w:type="dxa"/>
              <w:right w:w="28" w:type="dxa"/>
            </w:tcMar>
            <w:vAlign w:val="center"/>
          </w:tcPr>
          <w:p>
            <w:pPr>
              <w:spacing w:line="400" w:lineRule="exact"/>
              <w:jc w:val="center"/>
              <w:rPr>
                <w:rFonts w:hint="eastAsia" w:ascii="黑体" w:hAnsi="黑体" w:eastAsia="黑体" w:cs="仿宋"/>
                <w:sz w:val="24"/>
              </w:rPr>
            </w:pPr>
            <w:r>
              <w:rPr>
                <w:rFonts w:hint="eastAsia" w:ascii="黑体" w:hAnsi="黑体" w:eastAsia="黑体" w:cs="仿宋"/>
                <w:sz w:val="24"/>
              </w:rPr>
              <w:t>主要</w:t>
            </w:r>
          </w:p>
          <w:p>
            <w:pPr>
              <w:spacing w:line="400" w:lineRule="exact"/>
              <w:jc w:val="center"/>
              <w:rPr>
                <w:rFonts w:ascii="黑体" w:hAnsi="黑体" w:eastAsia="黑体"/>
                <w:sz w:val="24"/>
              </w:rPr>
            </w:pPr>
            <w:r>
              <w:rPr>
                <w:rFonts w:hint="eastAsia" w:ascii="黑体" w:hAnsi="黑体" w:eastAsia="黑体" w:cs="仿宋"/>
                <w:sz w:val="24"/>
              </w:rPr>
              <w:t>观测点</w:t>
            </w:r>
          </w:p>
        </w:tc>
        <w:tc>
          <w:tcPr>
            <w:tcW w:w="7576" w:type="dxa"/>
            <w:noWrap w:val="0"/>
            <w:vAlign w:val="center"/>
          </w:tcPr>
          <w:p>
            <w:pPr>
              <w:spacing w:line="400" w:lineRule="exact"/>
              <w:jc w:val="center"/>
              <w:rPr>
                <w:rFonts w:ascii="黑体" w:hAnsi="黑体" w:eastAsia="黑体"/>
                <w:sz w:val="24"/>
              </w:rPr>
            </w:pPr>
            <w:r>
              <w:rPr>
                <w:rFonts w:hint="eastAsia" w:ascii="黑体" w:hAnsi="黑体" w:eastAsia="黑体" w:cs="仿宋"/>
                <w:sz w:val="24"/>
              </w:rPr>
              <w:t>指导标准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1" w:hRule="atLeast"/>
          <w:jc w:val="center"/>
        </w:trPr>
        <w:tc>
          <w:tcPr>
            <w:tcW w:w="624" w:type="dxa"/>
            <w:noWrap w:val="0"/>
            <w:vAlign w:val="center"/>
          </w:tcPr>
          <w:p>
            <w:pPr>
              <w:spacing w:line="400" w:lineRule="exact"/>
              <w:jc w:val="center"/>
              <w:rPr>
                <w:rFonts w:hint="eastAsia" w:ascii="仿宋_GB2312" w:hAnsi="仿宋" w:eastAsia="仿宋_GB2312" w:cs="仿宋"/>
                <w:sz w:val="24"/>
              </w:rPr>
            </w:pPr>
            <w:r>
              <w:rPr>
                <w:rFonts w:hint="eastAsia" w:ascii="仿宋_GB2312" w:hAnsi="仿宋" w:eastAsia="仿宋_GB2312" w:cs="仿宋"/>
                <w:sz w:val="24"/>
              </w:rPr>
              <w:t>1</w:t>
            </w:r>
          </w:p>
        </w:tc>
        <w:tc>
          <w:tcPr>
            <w:tcW w:w="885" w:type="dxa"/>
            <w:noWrap w:val="0"/>
            <w:vAlign w:val="center"/>
          </w:tcPr>
          <w:p>
            <w:pPr>
              <w:spacing w:line="400" w:lineRule="exact"/>
              <w:jc w:val="center"/>
              <w:rPr>
                <w:rFonts w:hint="eastAsia" w:ascii="仿宋_GB2312" w:hAnsi="仿宋" w:eastAsia="仿宋_GB2312"/>
                <w:sz w:val="24"/>
              </w:rPr>
            </w:pPr>
            <w:r>
              <w:rPr>
                <w:rFonts w:hint="eastAsia" w:ascii="仿宋_GB2312" w:hAnsi="仿宋" w:eastAsia="仿宋_GB2312" w:cs="仿宋"/>
                <w:sz w:val="24"/>
              </w:rPr>
              <w:t>课程团队</w:t>
            </w:r>
          </w:p>
        </w:tc>
        <w:tc>
          <w:tcPr>
            <w:tcW w:w="7576" w:type="dxa"/>
            <w:noWrap w:val="0"/>
            <w:vAlign w:val="center"/>
          </w:tcPr>
          <w:p>
            <w:pPr>
              <w:numPr>
                <w:ilvl w:val="0"/>
                <w:numId w:val="1"/>
              </w:numPr>
              <w:spacing w:line="400" w:lineRule="exact"/>
              <w:rPr>
                <w:rFonts w:hint="eastAsia" w:ascii="仿宋_GB2312" w:hAnsi="仿宋" w:eastAsia="仿宋_GB2312"/>
                <w:sz w:val="24"/>
              </w:rPr>
            </w:pPr>
            <w:r>
              <w:rPr>
                <w:rFonts w:hint="eastAsia" w:ascii="仿宋_GB2312" w:hAnsi="仿宋" w:eastAsia="仿宋_GB2312" w:cs="仿宋"/>
                <w:sz w:val="24"/>
              </w:rPr>
              <w:t>主讲教师有三年以上本课程主讲经验，课程团队配有课程助教，团队总人数在3人以上。</w:t>
            </w:r>
          </w:p>
          <w:p>
            <w:pPr>
              <w:numPr>
                <w:ilvl w:val="0"/>
                <w:numId w:val="1"/>
              </w:numPr>
              <w:spacing w:line="400" w:lineRule="exact"/>
              <w:rPr>
                <w:rFonts w:hint="eastAsia" w:ascii="仿宋_GB2312" w:hAnsi="仿宋" w:eastAsia="仿宋_GB2312"/>
                <w:sz w:val="24"/>
              </w:rPr>
            </w:pPr>
            <w:r>
              <w:rPr>
                <w:rFonts w:hint="eastAsia" w:ascii="仿宋_GB2312" w:hAnsi="仿宋" w:eastAsia="仿宋_GB2312" w:cs="仿宋"/>
                <w:sz w:val="24"/>
              </w:rPr>
              <w:t>团队介绍中有明确合理的职责分工，且与平台运行记录显示实际参与的工作一致。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5" w:hRule="atLeast"/>
          <w:jc w:val="center"/>
        </w:trPr>
        <w:tc>
          <w:tcPr>
            <w:tcW w:w="624" w:type="dxa"/>
            <w:noWrap w:val="0"/>
            <w:vAlign w:val="center"/>
          </w:tcPr>
          <w:p>
            <w:pPr>
              <w:spacing w:line="400" w:lineRule="exact"/>
              <w:jc w:val="center"/>
              <w:rPr>
                <w:rFonts w:hint="eastAsia" w:ascii="仿宋_GB2312" w:hAnsi="仿宋" w:eastAsia="仿宋_GB2312" w:cs="仿宋"/>
                <w:sz w:val="24"/>
              </w:rPr>
            </w:pPr>
            <w:r>
              <w:rPr>
                <w:rFonts w:hint="eastAsia" w:ascii="仿宋_GB2312" w:hAnsi="仿宋" w:eastAsia="仿宋_GB2312" w:cs="仿宋"/>
                <w:sz w:val="24"/>
              </w:rPr>
              <w:t>2</w:t>
            </w:r>
          </w:p>
        </w:tc>
        <w:tc>
          <w:tcPr>
            <w:tcW w:w="885" w:type="dxa"/>
            <w:noWrap w:val="0"/>
            <w:vAlign w:val="center"/>
          </w:tcPr>
          <w:p>
            <w:pPr>
              <w:spacing w:line="400" w:lineRule="exact"/>
              <w:jc w:val="center"/>
              <w:rPr>
                <w:rFonts w:hint="eastAsia" w:ascii="仿宋_GB2312" w:hAnsi="仿宋" w:eastAsia="仿宋_GB2312"/>
                <w:sz w:val="24"/>
              </w:rPr>
            </w:pPr>
            <w:r>
              <w:rPr>
                <w:rFonts w:hint="eastAsia" w:ascii="仿宋_GB2312" w:hAnsi="仿宋" w:eastAsia="仿宋_GB2312" w:cs="仿宋"/>
                <w:sz w:val="24"/>
              </w:rPr>
              <w:t>课程内容</w:t>
            </w:r>
          </w:p>
        </w:tc>
        <w:tc>
          <w:tcPr>
            <w:tcW w:w="7576" w:type="dxa"/>
            <w:noWrap w:val="0"/>
            <w:vAlign w:val="center"/>
          </w:tcPr>
          <w:p>
            <w:pPr>
              <w:spacing w:line="400" w:lineRule="exact"/>
              <w:rPr>
                <w:rFonts w:hint="eastAsia" w:ascii="仿宋_GB2312" w:hAnsi="仿宋" w:eastAsia="仿宋_GB2312"/>
                <w:sz w:val="24"/>
              </w:rPr>
            </w:pPr>
            <w:r>
              <w:rPr>
                <w:rFonts w:hint="eastAsia" w:ascii="仿宋_GB2312" w:hAnsi="仿宋" w:eastAsia="仿宋_GB2312" w:cs="仿宋"/>
                <w:sz w:val="24"/>
              </w:rPr>
              <w:t xml:space="preserve">1.课程内容和资源要件达到或超过《青岛农业大学在线开放课程建设指导性规范》要求。 </w:t>
            </w:r>
          </w:p>
          <w:p>
            <w:pPr>
              <w:spacing w:line="400" w:lineRule="exact"/>
              <w:rPr>
                <w:rFonts w:hint="eastAsia" w:ascii="仿宋_GB2312" w:hAnsi="仿宋" w:eastAsia="仿宋_GB2312"/>
                <w:sz w:val="24"/>
              </w:rPr>
            </w:pPr>
            <w:r>
              <w:rPr>
                <w:rFonts w:hint="eastAsia" w:ascii="仿宋_GB2312" w:hAnsi="仿宋" w:eastAsia="仿宋_GB2312" w:cs="仿宋"/>
                <w:sz w:val="24"/>
              </w:rPr>
              <w:t>2.教学内容先进，结构完整，与教学目标相适应，同行专家评价认可度≥80%。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81" w:hRule="atLeast"/>
          <w:jc w:val="center"/>
        </w:trPr>
        <w:tc>
          <w:tcPr>
            <w:tcW w:w="624" w:type="dxa"/>
            <w:noWrap w:val="0"/>
            <w:vAlign w:val="center"/>
          </w:tcPr>
          <w:p>
            <w:pPr>
              <w:spacing w:line="400" w:lineRule="exact"/>
              <w:jc w:val="center"/>
              <w:rPr>
                <w:rFonts w:hint="eastAsia" w:ascii="仿宋_GB2312" w:hAnsi="仿宋" w:eastAsia="仿宋_GB2312" w:cs="仿宋"/>
                <w:sz w:val="24"/>
              </w:rPr>
            </w:pPr>
            <w:r>
              <w:rPr>
                <w:rFonts w:hint="eastAsia" w:ascii="仿宋_GB2312" w:hAnsi="仿宋" w:eastAsia="仿宋_GB2312" w:cs="仿宋"/>
                <w:sz w:val="24"/>
              </w:rPr>
              <w:t>3</w:t>
            </w:r>
          </w:p>
        </w:tc>
        <w:tc>
          <w:tcPr>
            <w:tcW w:w="885" w:type="dxa"/>
            <w:noWrap w:val="0"/>
            <w:vAlign w:val="center"/>
          </w:tcPr>
          <w:p>
            <w:pPr>
              <w:spacing w:line="400" w:lineRule="exact"/>
              <w:jc w:val="center"/>
              <w:rPr>
                <w:rFonts w:hint="eastAsia" w:ascii="仿宋_GB2312" w:hAnsi="仿宋" w:eastAsia="仿宋_GB2312"/>
                <w:sz w:val="24"/>
              </w:rPr>
            </w:pPr>
            <w:r>
              <w:rPr>
                <w:rFonts w:hint="eastAsia" w:ascii="仿宋_GB2312" w:hAnsi="仿宋" w:eastAsia="仿宋_GB2312" w:cs="仿宋"/>
                <w:sz w:val="24"/>
              </w:rPr>
              <w:t>教学资源</w:t>
            </w:r>
          </w:p>
        </w:tc>
        <w:tc>
          <w:tcPr>
            <w:tcW w:w="7576" w:type="dxa"/>
            <w:noWrap w:val="0"/>
            <w:vAlign w:val="center"/>
          </w:tcPr>
          <w:p>
            <w:pPr>
              <w:spacing w:line="400" w:lineRule="exact"/>
              <w:rPr>
                <w:rFonts w:hint="eastAsia" w:ascii="仿宋_GB2312" w:hAnsi="仿宋" w:eastAsia="仿宋_GB2312"/>
                <w:sz w:val="24"/>
              </w:rPr>
            </w:pPr>
            <w:r>
              <w:rPr>
                <w:rFonts w:hint="eastAsia" w:ascii="仿宋_GB2312" w:hAnsi="仿宋" w:eastAsia="仿宋_GB2312" w:cs="仿宋"/>
                <w:sz w:val="24"/>
              </w:rPr>
              <w:t>1. 每段视频均配有随堂测验题，题目数量≥5个，课程累计题型</w:t>
            </w:r>
            <w:bookmarkStart w:id="2" w:name="OLE_LINK6"/>
            <w:bookmarkStart w:id="3" w:name="OLE_LINK5"/>
            <w:r>
              <w:rPr>
                <w:rFonts w:hint="eastAsia" w:ascii="仿宋_GB2312" w:hAnsi="仿宋" w:eastAsia="仿宋_GB2312" w:cs="仿宋"/>
                <w:sz w:val="24"/>
              </w:rPr>
              <w:t>≥</w:t>
            </w:r>
            <w:bookmarkEnd w:id="2"/>
            <w:bookmarkEnd w:id="3"/>
            <w:r>
              <w:rPr>
                <w:rFonts w:hint="eastAsia" w:ascii="仿宋_GB2312" w:hAnsi="仿宋" w:eastAsia="仿宋_GB2312" w:cs="仿宋"/>
                <w:sz w:val="24"/>
              </w:rPr>
              <w:t>3种。</w:t>
            </w:r>
          </w:p>
          <w:p>
            <w:pPr>
              <w:spacing w:line="400" w:lineRule="exact"/>
              <w:rPr>
                <w:rFonts w:hint="eastAsia" w:ascii="仿宋_GB2312" w:hAnsi="仿宋" w:eastAsia="仿宋_GB2312"/>
                <w:sz w:val="24"/>
              </w:rPr>
            </w:pPr>
            <w:r>
              <w:rPr>
                <w:rFonts w:hint="eastAsia" w:ascii="仿宋_GB2312" w:hAnsi="仿宋" w:eastAsia="仿宋_GB2312" w:cs="仿宋"/>
                <w:sz w:val="24"/>
              </w:rPr>
              <w:t>2.每个单元都配有单元作业，题目数量≥15个，课程累计题型≥3种，且每学期发放作业≥2次。</w:t>
            </w:r>
          </w:p>
          <w:p>
            <w:pPr>
              <w:spacing w:line="400" w:lineRule="exact"/>
              <w:rPr>
                <w:rFonts w:hint="eastAsia" w:ascii="仿宋_GB2312" w:hAnsi="仿宋" w:eastAsia="仿宋_GB2312"/>
                <w:sz w:val="24"/>
              </w:rPr>
            </w:pPr>
            <w:r>
              <w:rPr>
                <w:rFonts w:hint="eastAsia" w:ascii="仿宋_GB2312" w:hAnsi="仿宋" w:eastAsia="仿宋_GB2312" w:cs="仿宋"/>
                <w:sz w:val="24"/>
              </w:rPr>
              <w:t>3.试题库题目总数量≥200个，组建试卷≥5套，每套题目数量≥25个，累计题型≥3种。</w:t>
            </w:r>
          </w:p>
          <w:p>
            <w:pPr>
              <w:spacing w:line="400" w:lineRule="exact"/>
              <w:rPr>
                <w:rFonts w:hint="eastAsia" w:ascii="仿宋_GB2312" w:hAnsi="仿宋" w:eastAsia="仿宋_GB2312"/>
                <w:sz w:val="24"/>
              </w:rPr>
            </w:pPr>
            <w:r>
              <w:rPr>
                <w:rFonts w:hint="eastAsia" w:ascii="仿宋_GB2312" w:hAnsi="仿宋" w:eastAsia="仿宋_GB2312" w:cs="仿宋"/>
                <w:sz w:val="24"/>
              </w:rPr>
              <w:t>4.至少有案例库、或专题讲座库、素材资源库等1种其他共享资料库，或每个授课单元提供相关参考资料≥3份</w:t>
            </w:r>
            <w:r>
              <w:rPr>
                <w:rFonts w:hint="eastAsia" w:ascii="仿宋_GB2312" w:hAnsi="仿宋" w:eastAsia="仿宋_GB2312" w:cs="仿宋"/>
                <w:sz w:val="24"/>
                <w:lang w:eastAsia="zh-CN"/>
              </w:rPr>
              <w:t>。</w:t>
            </w:r>
          </w:p>
          <w:p>
            <w:pPr>
              <w:spacing w:line="400" w:lineRule="exact"/>
              <w:rPr>
                <w:rFonts w:hint="eastAsia" w:ascii="仿宋_GB2312" w:hAnsi="仿宋" w:eastAsia="仿宋_GB2312"/>
                <w:sz w:val="24"/>
              </w:rPr>
            </w:pPr>
            <w:r>
              <w:rPr>
                <w:rFonts w:hint="eastAsia" w:ascii="仿宋_GB2312" w:hAnsi="仿宋" w:eastAsia="仿宋_GB2312" w:cs="仿宋"/>
                <w:sz w:val="24"/>
              </w:rPr>
              <w:t>5.学习资源丰富，导航简明，方便查阅，学生对课程整体评价和教学资源的单项评价满意度均≥80%。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9" w:hRule="atLeast"/>
          <w:jc w:val="center"/>
        </w:trPr>
        <w:tc>
          <w:tcPr>
            <w:tcW w:w="624" w:type="dxa"/>
            <w:noWrap w:val="0"/>
            <w:vAlign w:val="center"/>
          </w:tcPr>
          <w:p>
            <w:pPr>
              <w:spacing w:line="400" w:lineRule="exact"/>
              <w:jc w:val="center"/>
              <w:rPr>
                <w:rFonts w:hint="eastAsia" w:ascii="仿宋_GB2312" w:hAnsi="仿宋" w:eastAsia="仿宋_GB2312" w:cs="仿宋"/>
                <w:sz w:val="24"/>
              </w:rPr>
            </w:pPr>
            <w:r>
              <w:rPr>
                <w:rFonts w:hint="eastAsia" w:ascii="仿宋_GB2312" w:hAnsi="仿宋" w:eastAsia="仿宋_GB2312" w:cs="仿宋"/>
                <w:sz w:val="24"/>
              </w:rPr>
              <w:t>4</w:t>
            </w:r>
          </w:p>
        </w:tc>
        <w:tc>
          <w:tcPr>
            <w:tcW w:w="885" w:type="dxa"/>
            <w:noWrap w:val="0"/>
            <w:vAlign w:val="center"/>
          </w:tcPr>
          <w:p>
            <w:pPr>
              <w:spacing w:line="400" w:lineRule="exact"/>
              <w:jc w:val="center"/>
              <w:rPr>
                <w:rFonts w:hint="eastAsia" w:ascii="仿宋_GB2312" w:hAnsi="仿宋" w:eastAsia="仿宋_GB2312"/>
                <w:sz w:val="24"/>
              </w:rPr>
            </w:pPr>
            <w:r>
              <w:rPr>
                <w:rFonts w:hint="eastAsia" w:ascii="仿宋_GB2312" w:hAnsi="仿宋" w:eastAsia="仿宋_GB2312" w:cs="仿宋"/>
                <w:sz w:val="24"/>
              </w:rPr>
              <w:t>教学设计</w:t>
            </w:r>
          </w:p>
        </w:tc>
        <w:tc>
          <w:tcPr>
            <w:tcW w:w="7576" w:type="dxa"/>
            <w:noWrap w:val="0"/>
            <w:vAlign w:val="center"/>
          </w:tcPr>
          <w:p>
            <w:pPr>
              <w:spacing w:line="400" w:lineRule="exact"/>
              <w:rPr>
                <w:rFonts w:hint="eastAsia" w:ascii="仿宋_GB2312" w:hAnsi="仿宋" w:eastAsia="仿宋_GB2312"/>
                <w:kern w:val="0"/>
                <w:sz w:val="24"/>
              </w:rPr>
            </w:pPr>
            <w:r>
              <w:rPr>
                <w:rFonts w:hint="eastAsia" w:ascii="仿宋_GB2312" w:hAnsi="仿宋" w:eastAsia="仿宋_GB2312" w:cs="仿宋"/>
                <w:sz w:val="24"/>
              </w:rPr>
              <w:t>1.根据专业和课程特点及学生层次制定教学目标，目标明确。</w:t>
            </w:r>
          </w:p>
          <w:p>
            <w:pPr>
              <w:widowControl/>
              <w:spacing w:line="400" w:lineRule="exact"/>
              <w:jc w:val="left"/>
              <w:rPr>
                <w:rFonts w:hint="eastAsia" w:ascii="仿宋_GB2312" w:hAnsi="仿宋" w:eastAsia="仿宋_GB2312"/>
                <w:sz w:val="24"/>
              </w:rPr>
            </w:pPr>
            <w:r>
              <w:rPr>
                <w:rFonts w:hint="eastAsia" w:ascii="仿宋_GB2312" w:hAnsi="仿宋" w:eastAsia="仿宋_GB2312" w:cs="仿宋"/>
                <w:sz w:val="24"/>
              </w:rPr>
              <w:t>2.每单元或者章节都有明确的教学目标。</w:t>
            </w:r>
          </w:p>
          <w:p>
            <w:pPr>
              <w:spacing w:line="400" w:lineRule="exact"/>
              <w:rPr>
                <w:rFonts w:hint="eastAsia" w:ascii="仿宋_GB2312" w:hAnsi="仿宋" w:eastAsia="仿宋_GB2312"/>
                <w:sz w:val="24"/>
              </w:rPr>
            </w:pPr>
            <w:r>
              <w:rPr>
                <w:rFonts w:hint="eastAsia" w:ascii="仿宋_GB2312" w:hAnsi="仿宋" w:eastAsia="仿宋_GB2312" w:cs="仿宋"/>
                <w:sz w:val="24"/>
              </w:rPr>
              <w:t>3.学时设置符合课程所对应的学分，每学分课程学时不少于16课时。</w:t>
            </w:r>
          </w:p>
          <w:p>
            <w:pPr>
              <w:spacing w:line="400" w:lineRule="exact"/>
              <w:rPr>
                <w:rFonts w:hint="eastAsia" w:ascii="仿宋_GB2312" w:hAnsi="仿宋" w:eastAsia="仿宋_GB2312"/>
                <w:sz w:val="24"/>
              </w:rPr>
            </w:pPr>
            <w:r>
              <w:rPr>
                <w:rFonts w:hint="eastAsia" w:ascii="仿宋_GB2312" w:hAnsi="仿宋" w:eastAsia="仿宋_GB2312" w:cs="仿宋"/>
                <w:sz w:val="24"/>
              </w:rPr>
              <w:t>4.采用在线异步讨论、笔记、信息提醒、测验、教师答疑、作业、同伴互评、线下讨论、问卷、实时讨论和一对一辅导等多种教学方式。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2" w:hRule="atLeast"/>
          <w:jc w:val="center"/>
        </w:trPr>
        <w:tc>
          <w:tcPr>
            <w:tcW w:w="624" w:type="dxa"/>
            <w:noWrap w:val="0"/>
            <w:vAlign w:val="center"/>
          </w:tcPr>
          <w:p>
            <w:pPr>
              <w:spacing w:line="400" w:lineRule="exact"/>
              <w:jc w:val="center"/>
              <w:rPr>
                <w:rFonts w:hint="eastAsia" w:ascii="仿宋_GB2312" w:hAnsi="仿宋" w:eastAsia="仿宋_GB2312" w:cs="仿宋"/>
                <w:sz w:val="24"/>
              </w:rPr>
            </w:pPr>
            <w:r>
              <w:rPr>
                <w:rFonts w:hint="eastAsia" w:ascii="仿宋_GB2312" w:hAnsi="仿宋" w:eastAsia="仿宋_GB2312" w:cs="仿宋"/>
                <w:sz w:val="24"/>
              </w:rPr>
              <w:t>5</w:t>
            </w:r>
          </w:p>
        </w:tc>
        <w:tc>
          <w:tcPr>
            <w:tcW w:w="885" w:type="dxa"/>
            <w:noWrap w:val="0"/>
            <w:vAlign w:val="center"/>
          </w:tcPr>
          <w:p>
            <w:pPr>
              <w:spacing w:line="400" w:lineRule="exact"/>
              <w:jc w:val="center"/>
              <w:rPr>
                <w:rFonts w:hint="eastAsia" w:ascii="仿宋_GB2312" w:hAnsi="仿宋" w:eastAsia="仿宋_GB2312"/>
                <w:sz w:val="24"/>
              </w:rPr>
            </w:pPr>
            <w:r>
              <w:rPr>
                <w:rFonts w:hint="eastAsia" w:ascii="仿宋_GB2312" w:hAnsi="仿宋" w:eastAsia="仿宋_GB2312" w:cs="仿宋"/>
                <w:sz w:val="24"/>
              </w:rPr>
              <w:t>在线互动</w:t>
            </w:r>
          </w:p>
        </w:tc>
        <w:tc>
          <w:tcPr>
            <w:tcW w:w="7576" w:type="dxa"/>
            <w:noWrap w:val="0"/>
            <w:vAlign w:val="center"/>
          </w:tcPr>
          <w:p>
            <w:pPr>
              <w:widowControl/>
              <w:spacing w:line="400" w:lineRule="exact"/>
              <w:rPr>
                <w:rFonts w:hint="eastAsia" w:ascii="仿宋_GB2312" w:hAnsi="仿宋" w:eastAsia="仿宋_GB2312"/>
                <w:sz w:val="24"/>
              </w:rPr>
            </w:pPr>
            <w:r>
              <w:rPr>
                <w:rFonts w:hint="eastAsia" w:ascii="仿宋_GB2312" w:hAnsi="仿宋" w:eastAsia="仿宋_GB2312" w:cs="仿宋"/>
                <w:sz w:val="24"/>
              </w:rPr>
              <w:t>1.提供线上答疑或讨论，每周不少于2次。</w:t>
            </w:r>
          </w:p>
          <w:p>
            <w:pPr>
              <w:widowControl/>
              <w:spacing w:line="400" w:lineRule="exact"/>
              <w:rPr>
                <w:rFonts w:hint="eastAsia" w:ascii="仿宋_GB2312" w:hAnsi="仿宋" w:eastAsia="仿宋_GB2312"/>
                <w:sz w:val="24"/>
              </w:rPr>
            </w:pPr>
            <w:r>
              <w:rPr>
                <w:rFonts w:hint="eastAsia" w:ascii="仿宋_GB2312" w:hAnsi="仿宋" w:eastAsia="仿宋_GB2312" w:cs="仿宋"/>
                <w:sz w:val="24"/>
              </w:rPr>
              <w:t>2.及时解答学生疑问，答疑回复间隔时间在48小时以内。</w:t>
            </w:r>
          </w:p>
          <w:p>
            <w:pPr>
              <w:widowControl/>
              <w:spacing w:line="400" w:lineRule="exact"/>
              <w:rPr>
                <w:rFonts w:hint="eastAsia" w:ascii="仿宋_GB2312" w:hAnsi="仿宋" w:eastAsia="仿宋_GB2312"/>
                <w:sz w:val="24"/>
              </w:rPr>
            </w:pPr>
            <w:r>
              <w:rPr>
                <w:rFonts w:hint="eastAsia" w:ascii="仿宋_GB2312" w:hAnsi="仿宋" w:eastAsia="仿宋_GB2312" w:cs="仿宋"/>
                <w:sz w:val="24"/>
              </w:rPr>
              <w:t>3.论坛发帖较多，帖子平均回复数大于3。</w:t>
            </w:r>
          </w:p>
          <w:p>
            <w:pPr>
              <w:spacing w:line="400" w:lineRule="exact"/>
              <w:rPr>
                <w:rFonts w:hint="eastAsia" w:ascii="仿宋_GB2312" w:hAnsi="仿宋" w:eastAsia="仿宋_GB2312"/>
                <w:sz w:val="24"/>
              </w:rPr>
            </w:pPr>
            <w:r>
              <w:rPr>
                <w:rFonts w:hint="eastAsia" w:ascii="仿宋_GB2312" w:hAnsi="仿宋" w:eastAsia="仿宋_GB2312" w:cs="仿宋"/>
                <w:sz w:val="24"/>
              </w:rPr>
              <w:t>4.在测验和作业提交截止日期后3日内反馈结果。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24" w:type="dxa"/>
            <w:noWrap w:val="0"/>
            <w:vAlign w:val="center"/>
          </w:tcPr>
          <w:p>
            <w:pPr>
              <w:spacing w:line="400" w:lineRule="exact"/>
              <w:jc w:val="center"/>
              <w:rPr>
                <w:rFonts w:hint="eastAsia" w:ascii="仿宋_GB2312" w:hAnsi="仿宋" w:eastAsia="仿宋_GB2312" w:cs="仿宋"/>
                <w:sz w:val="24"/>
              </w:rPr>
            </w:pPr>
            <w:r>
              <w:rPr>
                <w:rFonts w:hint="eastAsia" w:ascii="仿宋_GB2312" w:hAnsi="仿宋" w:eastAsia="仿宋_GB2312" w:cs="仿宋"/>
                <w:sz w:val="24"/>
              </w:rPr>
              <w:t>6</w:t>
            </w:r>
          </w:p>
        </w:tc>
        <w:tc>
          <w:tcPr>
            <w:tcW w:w="885" w:type="dxa"/>
            <w:noWrap w:val="0"/>
            <w:vAlign w:val="center"/>
          </w:tcPr>
          <w:p>
            <w:pPr>
              <w:spacing w:line="400" w:lineRule="exact"/>
              <w:jc w:val="center"/>
              <w:rPr>
                <w:rFonts w:hint="eastAsia" w:ascii="仿宋_GB2312" w:hAnsi="仿宋" w:eastAsia="仿宋_GB2312"/>
                <w:sz w:val="24"/>
              </w:rPr>
            </w:pPr>
            <w:r>
              <w:rPr>
                <w:rFonts w:hint="eastAsia" w:ascii="仿宋_GB2312" w:hAnsi="仿宋" w:eastAsia="仿宋_GB2312" w:cs="仿宋"/>
                <w:sz w:val="24"/>
              </w:rPr>
              <w:t>课程考核</w:t>
            </w:r>
          </w:p>
        </w:tc>
        <w:tc>
          <w:tcPr>
            <w:tcW w:w="7576" w:type="dxa"/>
            <w:noWrap w:val="0"/>
            <w:vAlign w:val="center"/>
          </w:tcPr>
          <w:p>
            <w:pPr>
              <w:spacing w:line="400" w:lineRule="exact"/>
              <w:rPr>
                <w:rFonts w:hint="eastAsia" w:ascii="仿宋_GB2312" w:hAnsi="仿宋" w:eastAsia="仿宋_GB2312"/>
                <w:sz w:val="24"/>
              </w:rPr>
            </w:pPr>
            <w:r>
              <w:rPr>
                <w:rFonts w:hint="eastAsia" w:ascii="仿宋_GB2312" w:hAnsi="仿宋" w:eastAsia="仿宋_GB2312" w:cs="仿宋"/>
                <w:sz w:val="24"/>
              </w:rPr>
              <w:t>1.课程成绩由过程性考核和终结性考核综合评定。</w:t>
            </w:r>
          </w:p>
          <w:p>
            <w:pPr>
              <w:spacing w:line="400" w:lineRule="exact"/>
              <w:rPr>
                <w:rFonts w:hint="eastAsia" w:ascii="仿宋_GB2312" w:hAnsi="仿宋" w:eastAsia="仿宋_GB2312"/>
                <w:sz w:val="24"/>
              </w:rPr>
            </w:pPr>
            <w:r>
              <w:rPr>
                <w:rFonts w:hint="eastAsia" w:ascii="仿宋_GB2312" w:hAnsi="仿宋" w:eastAsia="仿宋_GB2312" w:cs="仿宋"/>
                <w:sz w:val="24"/>
              </w:rPr>
              <w:t>2.采取线上线下相结合考核方式。</w:t>
            </w:r>
          </w:p>
          <w:p>
            <w:pPr>
              <w:spacing w:line="400" w:lineRule="exact"/>
              <w:rPr>
                <w:rFonts w:hint="eastAsia" w:ascii="仿宋_GB2312" w:hAnsi="仿宋" w:eastAsia="仿宋_GB2312"/>
                <w:sz w:val="24"/>
              </w:rPr>
            </w:pPr>
            <w:r>
              <w:rPr>
                <w:rFonts w:hint="eastAsia" w:ascii="仿宋_GB2312" w:hAnsi="仿宋" w:eastAsia="仿宋_GB2312" w:cs="仿宋"/>
                <w:sz w:val="24"/>
              </w:rPr>
              <w:t>3.考核办法明确具体，包括完成课程学习必须的作业数量及评分的标准、测试数量及标准等。</w:t>
            </w:r>
          </w:p>
          <w:p>
            <w:pPr>
              <w:widowControl/>
              <w:spacing w:line="400" w:lineRule="exact"/>
              <w:rPr>
                <w:rFonts w:hint="eastAsia" w:ascii="仿宋_GB2312" w:hAnsi="仿宋" w:eastAsia="仿宋_GB2312"/>
                <w:sz w:val="24"/>
              </w:rPr>
            </w:pPr>
            <w:r>
              <w:rPr>
                <w:rFonts w:hint="eastAsia" w:ascii="仿宋_GB2312" w:hAnsi="仿宋" w:eastAsia="仿宋_GB2312" w:cs="仿宋"/>
                <w:sz w:val="24"/>
              </w:rPr>
              <w:t>4.学生考试截止日期后及时反馈考试成绩。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0" w:hRule="atLeast"/>
          <w:jc w:val="center"/>
        </w:trPr>
        <w:tc>
          <w:tcPr>
            <w:tcW w:w="624" w:type="dxa"/>
            <w:noWrap w:val="0"/>
            <w:vAlign w:val="center"/>
          </w:tcPr>
          <w:p>
            <w:pPr>
              <w:spacing w:line="400" w:lineRule="exact"/>
              <w:jc w:val="center"/>
              <w:rPr>
                <w:rFonts w:hint="eastAsia" w:ascii="仿宋_GB2312" w:hAnsi="仿宋" w:eastAsia="仿宋_GB2312" w:cs="仿宋"/>
                <w:sz w:val="24"/>
              </w:rPr>
            </w:pPr>
            <w:r>
              <w:rPr>
                <w:rFonts w:hint="eastAsia" w:ascii="仿宋_GB2312" w:hAnsi="仿宋" w:eastAsia="仿宋_GB2312" w:cs="仿宋"/>
                <w:sz w:val="24"/>
              </w:rPr>
              <w:t>7</w:t>
            </w:r>
          </w:p>
        </w:tc>
        <w:tc>
          <w:tcPr>
            <w:tcW w:w="885" w:type="dxa"/>
            <w:noWrap w:val="0"/>
            <w:vAlign w:val="center"/>
          </w:tcPr>
          <w:p>
            <w:pPr>
              <w:spacing w:line="400" w:lineRule="exact"/>
              <w:jc w:val="center"/>
              <w:rPr>
                <w:rFonts w:hint="eastAsia" w:ascii="仿宋_GB2312" w:hAnsi="仿宋" w:eastAsia="仿宋_GB2312"/>
                <w:sz w:val="24"/>
              </w:rPr>
            </w:pPr>
            <w:r>
              <w:rPr>
                <w:rFonts w:hint="eastAsia" w:ascii="仿宋_GB2312" w:hAnsi="仿宋" w:eastAsia="仿宋_GB2312" w:cs="仿宋"/>
                <w:sz w:val="24"/>
              </w:rPr>
              <w:t>教学效果</w:t>
            </w:r>
          </w:p>
        </w:tc>
        <w:tc>
          <w:tcPr>
            <w:tcW w:w="7576" w:type="dxa"/>
            <w:noWrap w:val="0"/>
            <w:vAlign w:val="center"/>
          </w:tcPr>
          <w:p>
            <w:pPr>
              <w:spacing w:line="400" w:lineRule="exact"/>
              <w:rPr>
                <w:rFonts w:hint="eastAsia" w:ascii="仿宋_GB2312" w:hAnsi="仿宋" w:eastAsia="仿宋_GB2312"/>
                <w:sz w:val="24"/>
              </w:rPr>
            </w:pPr>
            <w:r>
              <w:rPr>
                <w:rFonts w:hint="eastAsia" w:ascii="仿宋_GB2312" w:hAnsi="仿宋" w:eastAsia="仿宋_GB2312" w:cs="仿宋"/>
                <w:sz w:val="24"/>
              </w:rPr>
              <w:t>1.完成至少两个学期的教学活动，或者通识教育课、公共基础课的选课人数≥1000人、专业基础课和专业核心课程选课人数≥200人。</w:t>
            </w:r>
          </w:p>
          <w:p>
            <w:pPr>
              <w:spacing w:line="400" w:lineRule="exact"/>
              <w:rPr>
                <w:rFonts w:hint="eastAsia" w:ascii="仿宋_GB2312" w:hAnsi="仿宋" w:eastAsia="仿宋_GB2312"/>
                <w:sz w:val="24"/>
              </w:rPr>
            </w:pPr>
            <w:r>
              <w:rPr>
                <w:rFonts w:hint="eastAsia" w:ascii="仿宋_GB2312" w:hAnsi="仿宋" w:eastAsia="仿宋_GB2312" w:cs="仿宋"/>
                <w:sz w:val="24"/>
              </w:rPr>
              <w:t>2.课程团队成员基于建设的在线开放课程开展了翻转课堂、混合式教学模式教学实践，学生评价效果良好，学生评教成绩位居学院前30%。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9" w:hRule="atLeast"/>
          <w:jc w:val="center"/>
        </w:trPr>
        <w:tc>
          <w:tcPr>
            <w:tcW w:w="624" w:type="dxa"/>
            <w:noWrap w:val="0"/>
            <w:vAlign w:val="center"/>
          </w:tcPr>
          <w:p>
            <w:pPr>
              <w:spacing w:line="400" w:lineRule="exact"/>
              <w:jc w:val="center"/>
              <w:rPr>
                <w:rFonts w:hint="eastAsia" w:ascii="仿宋_GB2312" w:hAnsi="仿宋" w:eastAsia="仿宋_GB2312" w:cs="仿宋"/>
                <w:sz w:val="24"/>
              </w:rPr>
            </w:pPr>
            <w:r>
              <w:rPr>
                <w:rFonts w:hint="eastAsia" w:ascii="仿宋_GB2312" w:hAnsi="仿宋" w:eastAsia="仿宋_GB2312" w:cs="仿宋"/>
                <w:sz w:val="24"/>
              </w:rPr>
              <w:t>8</w:t>
            </w:r>
          </w:p>
        </w:tc>
        <w:tc>
          <w:tcPr>
            <w:tcW w:w="885" w:type="dxa"/>
            <w:noWrap w:val="0"/>
            <w:vAlign w:val="center"/>
          </w:tcPr>
          <w:p>
            <w:pPr>
              <w:spacing w:line="400" w:lineRule="exact"/>
              <w:jc w:val="center"/>
              <w:rPr>
                <w:rFonts w:hint="eastAsia" w:ascii="仿宋_GB2312" w:hAnsi="仿宋" w:eastAsia="仿宋_GB2312"/>
                <w:sz w:val="24"/>
              </w:rPr>
            </w:pPr>
            <w:r>
              <w:rPr>
                <w:rFonts w:hint="eastAsia" w:ascii="仿宋_GB2312" w:hAnsi="仿宋" w:eastAsia="仿宋_GB2312" w:cs="仿宋"/>
                <w:sz w:val="24"/>
              </w:rPr>
              <w:t>教学</w:t>
            </w:r>
          </w:p>
          <w:p>
            <w:pPr>
              <w:spacing w:line="400" w:lineRule="exact"/>
              <w:jc w:val="center"/>
              <w:rPr>
                <w:rFonts w:hint="eastAsia" w:ascii="仿宋_GB2312" w:hAnsi="仿宋" w:eastAsia="仿宋_GB2312"/>
                <w:sz w:val="24"/>
              </w:rPr>
            </w:pPr>
            <w:r>
              <w:rPr>
                <w:rFonts w:hint="eastAsia" w:ascii="仿宋_GB2312" w:hAnsi="仿宋" w:eastAsia="仿宋_GB2312" w:cs="仿宋"/>
                <w:sz w:val="24"/>
              </w:rPr>
              <w:t>服务</w:t>
            </w:r>
          </w:p>
        </w:tc>
        <w:tc>
          <w:tcPr>
            <w:tcW w:w="7576" w:type="dxa"/>
            <w:noWrap w:val="0"/>
            <w:vAlign w:val="center"/>
          </w:tcPr>
          <w:p>
            <w:pPr>
              <w:spacing w:line="400" w:lineRule="exact"/>
              <w:rPr>
                <w:rFonts w:hint="eastAsia" w:ascii="仿宋_GB2312" w:hAnsi="仿宋" w:eastAsia="仿宋_GB2312"/>
                <w:sz w:val="24"/>
              </w:rPr>
            </w:pPr>
            <w:r>
              <w:rPr>
                <w:rFonts w:hint="eastAsia" w:ascii="仿宋_GB2312" w:hAnsi="仿宋" w:eastAsia="仿宋_GB2312" w:cs="仿宋"/>
                <w:sz w:val="24"/>
              </w:rPr>
              <w:t>1.具有日常维护和资源更新措施，至少每学期更新一次，视频和基本教学资源更新或增补比例≥10%</w:t>
            </w:r>
            <w:r>
              <w:rPr>
                <w:rFonts w:hint="eastAsia" w:ascii="仿宋_GB2312" w:hAnsi="仿宋" w:eastAsia="仿宋_GB2312" w:cs="仿宋"/>
                <w:sz w:val="24"/>
                <w:lang w:eastAsia="zh-CN"/>
              </w:rPr>
              <w:t>。</w:t>
            </w:r>
          </w:p>
          <w:p>
            <w:pPr>
              <w:widowControl/>
              <w:spacing w:line="400" w:lineRule="exact"/>
              <w:jc w:val="left"/>
              <w:rPr>
                <w:rFonts w:hint="eastAsia" w:ascii="仿宋_GB2312" w:hAnsi="仿宋" w:eastAsia="仿宋_GB2312"/>
                <w:sz w:val="24"/>
              </w:rPr>
            </w:pPr>
            <w:r>
              <w:rPr>
                <w:rFonts w:hint="eastAsia" w:ascii="仿宋_GB2312" w:hAnsi="仿宋" w:eastAsia="仿宋_GB2312" w:cs="仿宋"/>
                <w:sz w:val="24"/>
              </w:rPr>
              <w:t>2.利用课程平台教学数据，课程团队成员和课程选用高校课程辅导教师共同开展课程与教学质量分析研讨，集中或在线分析研讨每学期不少于一次，并及时改进</w:t>
            </w:r>
            <w:r>
              <w:rPr>
                <w:rFonts w:hint="eastAsia" w:ascii="仿宋_GB2312" w:hAnsi="仿宋" w:eastAsia="仿宋_GB2312" w:cs="仿宋"/>
                <w:sz w:val="24"/>
                <w:lang w:eastAsia="zh-CN"/>
              </w:rPr>
              <w:t>。</w:t>
            </w:r>
          </w:p>
          <w:p>
            <w:pPr>
              <w:spacing w:line="400" w:lineRule="exact"/>
              <w:rPr>
                <w:rFonts w:hint="eastAsia" w:ascii="仿宋_GB2312" w:hAnsi="仿宋" w:eastAsia="仿宋_GB2312"/>
                <w:sz w:val="24"/>
                <w:highlight w:val="yellow"/>
              </w:rPr>
            </w:pPr>
            <w:r>
              <w:rPr>
                <w:rFonts w:hint="eastAsia" w:ascii="仿宋_GB2312" w:hAnsi="仿宋" w:eastAsia="仿宋_GB2312" w:cs="仿宋"/>
                <w:sz w:val="24"/>
              </w:rPr>
              <w:t>3.为学生提供课程学习技术支持，及时解答学生在线学习过程中遇到的技术难题。</w:t>
            </w:r>
          </w:p>
        </w:tc>
      </w:tr>
    </w:tbl>
    <w:p>
      <w:pPr>
        <w:spacing w:before="156" w:beforeLines="50" w:after="156" w:afterLines="50" w:line="560" w:lineRule="exact"/>
        <w:jc w:val="left"/>
        <w:rPr>
          <w:rFonts w:ascii="黑体" w:hAnsi="黑体" w:eastAsia="黑体"/>
          <w:sz w:val="32"/>
          <w:szCs w:val="32"/>
        </w:rPr>
      </w:pPr>
    </w:p>
    <w:p>
      <w:pPr>
        <w:spacing w:before="156" w:beforeLines="50" w:after="156" w:afterLines="50" w:line="560" w:lineRule="exact"/>
        <w:jc w:val="left"/>
        <w:rPr>
          <w:rFonts w:ascii="黑体" w:hAnsi="黑体" w:eastAsia="黑体"/>
          <w:sz w:val="32"/>
          <w:szCs w:val="32"/>
        </w:rPr>
      </w:pPr>
    </w:p>
    <w:p>
      <w:pPr>
        <w:spacing w:before="156" w:beforeLines="50" w:after="156" w:afterLines="50" w:line="560" w:lineRule="exact"/>
        <w:jc w:val="left"/>
        <w:rPr>
          <w:rFonts w:ascii="黑体" w:hAnsi="黑体" w:eastAsia="黑体"/>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B8DEDB"/>
    <w:multiLevelType w:val="singleLevel"/>
    <w:tmpl w:val="59B8DED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D8580F"/>
    <w:rsid w:val="76D858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2018-10-19T08:45:00Z</dcterms:created>
  <dc:creator>niu</dc:creator>
  <cp:lastModifiedBy>niu</cp:lastModifiedBy>
  <dcterms:modified xsi:type="dcterms:W3CDTF">2018-10-19T08:49:35Z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2052-10.1.0.7578</vt:lpwstr>
  </property>
</Properties>
</file>